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18" w:afterLines="20" w:line="400" w:lineRule="exact"/>
        <w:rPr>
          <w:rFonts w:hint="eastAsia" w:ascii="黑体" w:hAnsi="黑体" w:eastAsia="黑体"/>
        </w:rPr>
      </w:pPr>
      <w:r>
        <w:rPr>
          <w:rFonts w:hint="eastAsia" w:ascii="黑体" w:hAnsi="黑体" w:eastAsia="黑体"/>
        </w:rPr>
        <w:t>附件</w:t>
      </w:r>
      <w:r>
        <w:rPr>
          <w:rFonts w:hint="eastAsia" w:ascii="黑体" w:hAnsi="黑体" w:eastAsia="黑体"/>
          <w:b/>
          <w:bCs/>
          <w:lang w:val="en-US" w:eastAsia="zh-CN"/>
        </w:rPr>
        <w:t>7</w:t>
      </w:r>
    </w:p>
    <w:p>
      <w:pPr>
        <w:spacing w:after="296" w:afterLines="50" w:line="520" w:lineRule="exact"/>
        <w:jc w:val="center"/>
        <w:rPr>
          <w:rFonts w:hint="eastAsia" w:ascii="方正小标宋简体" w:hAnsi="宋体" w:eastAsia="方正小标宋简体" w:cs="宋体"/>
          <w:bCs/>
          <w:kern w:val="0"/>
          <w:sz w:val="44"/>
          <w:szCs w:val="44"/>
        </w:rPr>
      </w:pPr>
      <w:bookmarkStart w:id="0" w:name="_GoBack"/>
      <w:r>
        <w:rPr>
          <w:rFonts w:hint="eastAsia" w:ascii="方正小标宋简体" w:hAnsi="宋体" w:eastAsia="方正小标宋简体" w:cs="宋体"/>
          <w:bCs/>
          <w:kern w:val="0"/>
          <w:sz w:val="44"/>
          <w:szCs w:val="44"/>
        </w:rPr>
        <w:t>广东省食品生产加工小作坊现场核查表</w:t>
      </w:r>
    </w:p>
    <w:bookmarkEnd w:id="0"/>
    <w:p>
      <w:pPr>
        <w:rPr>
          <w:rFonts w:hint="eastAsia" w:ascii="宋体" w:hAnsi="宋体" w:cs="宋体"/>
          <w:kern w:val="0"/>
          <w:sz w:val="24"/>
          <w:u w:val="single"/>
        </w:rPr>
      </w:pPr>
      <w:r>
        <w:rPr>
          <w:rFonts w:hint="eastAsia" w:ascii="宋体" w:hAnsi="宋体" w:cs="宋体"/>
          <w:kern w:val="0"/>
          <w:sz w:val="24"/>
        </w:rPr>
        <w:t>小作坊名称：</w:t>
      </w:r>
      <w:r>
        <w:rPr>
          <w:rFonts w:hint="eastAsia" w:ascii="宋体" w:hAnsi="宋体" w:cs="宋体"/>
          <w:kern w:val="0"/>
          <w:sz w:val="24"/>
          <w:u w:val="single"/>
        </w:rPr>
        <w:t xml:space="preserve">                      </w:t>
      </w:r>
      <w:r>
        <w:rPr>
          <w:rFonts w:hint="eastAsia" w:ascii="宋体" w:hAnsi="宋体" w:cs="宋体"/>
          <w:kern w:val="0"/>
          <w:sz w:val="24"/>
        </w:rPr>
        <w:t xml:space="preserve">     地址：</w:t>
      </w:r>
      <w:r>
        <w:rPr>
          <w:rFonts w:hint="eastAsia" w:ascii="宋体" w:hAnsi="宋体" w:cs="宋体"/>
          <w:kern w:val="0"/>
          <w:sz w:val="24"/>
          <w:u w:val="single"/>
        </w:rPr>
        <w:t xml:space="preserve">                             </w:t>
      </w:r>
    </w:p>
    <w:tbl>
      <w:tblPr>
        <w:tblStyle w:val="5"/>
        <w:tblW w:w="0" w:type="auto"/>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686"/>
        <w:gridCol w:w="5823"/>
        <w:gridCol w:w="1256"/>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4" w:type="dxa"/>
            <w:noWrap w:val="0"/>
            <w:vAlign w:val="center"/>
          </w:tcPr>
          <w:p>
            <w:pPr>
              <w:widowControl/>
              <w:spacing w:line="310" w:lineRule="exact"/>
              <w:jc w:val="center"/>
              <w:rPr>
                <w:rFonts w:ascii="宋体" w:hAnsi="宋体" w:eastAsia="宋体" w:cs="宋体"/>
                <w:b/>
                <w:kern w:val="0"/>
                <w:sz w:val="21"/>
                <w:szCs w:val="21"/>
              </w:rPr>
            </w:pPr>
            <w:r>
              <w:rPr>
                <w:rFonts w:hint="eastAsia" w:ascii="宋体" w:hAnsi="宋体" w:eastAsia="宋体" w:cs="宋体"/>
                <w:b/>
                <w:kern w:val="0"/>
                <w:sz w:val="21"/>
                <w:szCs w:val="21"/>
              </w:rPr>
              <w:t>评价项目</w:t>
            </w:r>
          </w:p>
        </w:tc>
        <w:tc>
          <w:tcPr>
            <w:tcW w:w="686" w:type="dxa"/>
            <w:noWrap w:val="0"/>
            <w:vAlign w:val="center"/>
          </w:tcPr>
          <w:p>
            <w:pPr>
              <w:widowControl/>
              <w:spacing w:line="310" w:lineRule="exact"/>
              <w:jc w:val="center"/>
              <w:rPr>
                <w:rFonts w:ascii="宋体" w:hAnsi="宋体" w:eastAsia="宋体" w:cs="宋体"/>
                <w:b/>
                <w:kern w:val="0"/>
                <w:sz w:val="21"/>
                <w:szCs w:val="21"/>
              </w:rPr>
            </w:pPr>
            <w:r>
              <w:rPr>
                <w:rFonts w:hint="eastAsia" w:ascii="宋体" w:hAnsi="宋体" w:eastAsia="宋体" w:cs="宋体"/>
                <w:b/>
                <w:kern w:val="0"/>
                <w:sz w:val="21"/>
                <w:szCs w:val="21"/>
              </w:rPr>
              <w:t>序号</w:t>
            </w:r>
          </w:p>
        </w:tc>
        <w:tc>
          <w:tcPr>
            <w:tcW w:w="5823" w:type="dxa"/>
            <w:noWrap w:val="0"/>
            <w:vAlign w:val="center"/>
          </w:tcPr>
          <w:p>
            <w:pPr>
              <w:widowControl/>
              <w:spacing w:line="310" w:lineRule="exact"/>
              <w:jc w:val="center"/>
              <w:rPr>
                <w:rFonts w:ascii="宋体" w:hAnsi="宋体" w:eastAsia="宋体" w:cs="宋体"/>
                <w:b/>
                <w:kern w:val="0"/>
                <w:sz w:val="21"/>
                <w:szCs w:val="21"/>
              </w:rPr>
            </w:pPr>
            <w:r>
              <w:rPr>
                <w:rFonts w:hint="eastAsia" w:ascii="宋体" w:hAnsi="宋体" w:eastAsia="宋体" w:cs="宋体"/>
                <w:b/>
                <w:kern w:val="0"/>
                <w:sz w:val="21"/>
                <w:szCs w:val="21"/>
              </w:rPr>
              <w:t>核查内容</w:t>
            </w:r>
          </w:p>
        </w:tc>
        <w:tc>
          <w:tcPr>
            <w:tcW w:w="1256" w:type="dxa"/>
            <w:noWrap w:val="0"/>
            <w:vAlign w:val="center"/>
          </w:tcPr>
          <w:p>
            <w:pPr>
              <w:widowControl/>
              <w:spacing w:line="310" w:lineRule="exact"/>
              <w:jc w:val="center"/>
              <w:rPr>
                <w:rFonts w:ascii="宋体" w:hAnsi="宋体" w:eastAsia="宋体" w:cs="宋体"/>
                <w:b/>
                <w:kern w:val="0"/>
                <w:sz w:val="21"/>
                <w:szCs w:val="21"/>
              </w:rPr>
            </w:pPr>
            <w:r>
              <w:rPr>
                <w:rFonts w:hint="eastAsia" w:ascii="宋体" w:hAnsi="宋体" w:eastAsia="宋体" w:cs="宋体"/>
                <w:b/>
                <w:kern w:val="0"/>
                <w:sz w:val="21"/>
                <w:szCs w:val="21"/>
              </w:rPr>
              <w:t>核查结果</w:t>
            </w:r>
          </w:p>
        </w:tc>
        <w:tc>
          <w:tcPr>
            <w:tcW w:w="660" w:type="dxa"/>
            <w:noWrap w:val="0"/>
            <w:vAlign w:val="center"/>
          </w:tcPr>
          <w:p>
            <w:pPr>
              <w:widowControl/>
              <w:spacing w:line="310" w:lineRule="exact"/>
              <w:jc w:val="center"/>
              <w:rPr>
                <w:rFonts w:ascii="宋体" w:hAnsi="宋体" w:eastAsia="宋体" w:cs="宋体"/>
                <w:b/>
                <w:kern w:val="0"/>
                <w:sz w:val="21"/>
                <w:szCs w:val="21"/>
              </w:rPr>
            </w:pPr>
            <w:r>
              <w:rPr>
                <w:rFonts w:hint="eastAsia" w:ascii="宋体" w:hAnsi="宋体" w:eastAsia="宋体" w:cs="宋体"/>
                <w:b/>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restart"/>
            <w:noWrap w:val="0"/>
            <w:vAlign w:val="center"/>
          </w:tcPr>
          <w:p>
            <w:pPr>
              <w:widowControl/>
              <w:spacing w:line="310" w:lineRule="exact"/>
              <w:rPr>
                <w:rFonts w:ascii="宋体" w:hAnsi="宋体" w:eastAsia="宋体" w:cs="宋体"/>
                <w:kern w:val="0"/>
                <w:sz w:val="21"/>
                <w:szCs w:val="21"/>
              </w:rPr>
            </w:pPr>
            <w:r>
              <w:rPr>
                <w:rFonts w:hint="eastAsia" w:ascii="宋体" w:hAnsi="宋体" w:eastAsia="宋体" w:cs="宋体"/>
                <w:kern w:val="0"/>
                <w:sz w:val="21"/>
                <w:szCs w:val="21"/>
              </w:rPr>
              <w:t>一、生产与加工场所</w:t>
            </w: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582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both"/>
              <w:textAlignment w:val="auto"/>
              <w:outlineLvl w:val="9"/>
              <w:rPr>
                <w:rFonts w:ascii="宋体" w:hAnsi="宋体" w:eastAsia="宋体" w:cs="宋体"/>
                <w:kern w:val="0"/>
                <w:sz w:val="21"/>
                <w:szCs w:val="21"/>
              </w:rPr>
            </w:pPr>
            <w:r>
              <w:rPr>
                <w:rFonts w:hint="eastAsia" w:ascii="宋体" w:hAnsi="宋体" w:eastAsia="宋体" w:cs="宋体"/>
                <w:kern w:val="0"/>
                <w:sz w:val="21"/>
                <w:szCs w:val="21"/>
              </w:rPr>
              <w:t>食品生产加工小作坊与有毒、有害场所及其他污染源保持25米以上的距离，保证不受污染源污染。</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restart"/>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生产加工场所相对独立，与生活区、办公区分开；生产加工场所不得饲养禽畜，不得设立厕所。</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生产加工场所面积与生产能力相适应，有足够的空间和场地放置设备、物料和产品，并满足操作和安全生产要求；按照生产工艺的先后次序和产品特点合理布局，设立原辅料、生产、成品等功能间。</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生产加工场所整洁、卫生、通风，无积水、泥泞、废弃物等易造成食品污染的因素。</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生产加工场所地面、墙面平整，应采用水泥或瓷砖等硬质材料；墙面、地面便于清洗、消毒；墙壁有高度不低于1.5m的墙裙，且平整，防止污垢积存；窗户内窗台便于清洁；顶部建造必须防漏雨，防止灰尘积累、碎片脱落，并且容易清洁；门窗严密、不变形，开闭自如。</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restart"/>
            <w:noWrap w:val="0"/>
            <w:vAlign w:val="center"/>
          </w:tcPr>
          <w:p>
            <w:pPr>
              <w:widowControl/>
              <w:spacing w:line="310" w:lineRule="exact"/>
              <w:rPr>
                <w:rFonts w:ascii="宋体" w:hAnsi="宋体" w:eastAsia="宋体" w:cs="宋体"/>
                <w:kern w:val="0"/>
                <w:sz w:val="21"/>
                <w:szCs w:val="21"/>
              </w:rPr>
            </w:pPr>
            <w:r>
              <w:rPr>
                <w:rFonts w:hint="eastAsia" w:ascii="宋体" w:hAnsi="宋体" w:eastAsia="宋体" w:cs="宋体"/>
                <w:kern w:val="0"/>
                <w:sz w:val="21"/>
                <w:szCs w:val="21"/>
              </w:rPr>
              <w:t>二、设施设备</w:t>
            </w: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具备良好的供水和排水、排污设施，具备带盖、防渗漏的垃圾和污物暂存设施；排水终端口设置防鼠格栅；与外界通风设施应装有纱网。</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restart"/>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具备满足食品加工操作的照明、通风、排烟设施。</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具备独立的食品添加剂的保存设施。</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设置必要的洗手设施，并配备专用的消毒、干手用品；具备清洁剂、消毒剂、杀虫剂等物质的保存设施，并单独存放，且明确标识。</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根据实际需求配备必要的冷藏、冷冻、加热、消毒杀菌设施。</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具备良好的防鼠、蝇、虫等设施；采取有效措施，防止生产加工场所和周围区域内害虫孳生。</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具备与加工食品相适应的加工设备和器具，设备和器具应保持清洁。</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直接接触食品的生产设备和器具采用无毒、无害、耐腐蚀、不易生锈、不易于微生物滋生和符合卫生要求的材料制造。</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选用食品用清洁剂清洗食品加工设备和器具，并定期对生产加工设施、工具进行彻底清洗、消毒；使用的洗涤剂、消毒剂应当对人体安全、无害。</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包装、贮存、运输和装卸食品的器具和设备应当安全、无害，保持清洁。</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restart"/>
            <w:noWrap w:val="0"/>
            <w:vAlign w:val="center"/>
          </w:tcPr>
          <w:p>
            <w:pPr>
              <w:widowControl/>
              <w:spacing w:line="310" w:lineRule="exact"/>
              <w:rPr>
                <w:rFonts w:hint="eastAsia" w:ascii="宋体" w:hAnsi="宋体" w:eastAsia="宋体" w:cs="宋体"/>
                <w:kern w:val="0"/>
                <w:sz w:val="21"/>
                <w:szCs w:val="21"/>
              </w:rPr>
            </w:pPr>
            <w:r>
              <w:rPr>
                <w:rFonts w:hint="eastAsia" w:ascii="宋体" w:hAnsi="宋体" w:eastAsia="宋体" w:cs="宋体"/>
                <w:kern w:val="0"/>
                <w:sz w:val="21"/>
                <w:szCs w:val="21"/>
              </w:rPr>
              <w:t>三、加工过程控制</w:t>
            </w: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16</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使用的原辅料符合国家有关规定和相关标准的要求，严禁使用过期、失效、变质、不洁、回收及受到其他污染的原辅料。</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restart"/>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17</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结合生产工艺流程，分开放置原辅料、半成品和成品，分开放置生熟食品，并确保与食品接触的设备、工具等表面清洁，防止交叉污染。</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*18</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生产用水使用自来水或者符合国家规定生活饮用水标准的其他水源。</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*19</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食品添加剂的品种、使用范围和使用量必须符合GB 2760的规定，并独立存放；使用经计量检定的、符合量程的天平或秤等工具称量。</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20</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生产中涉及生、熟料的工具</w:t>
            </w:r>
            <w:r>
              <w:rPr>
                <w:rFonts w:hint="eastAsia" w:ascii="黑体" w:hAnsi="黑体" w:eastAsia="黑体" w:cs="黑体"/>
                <w:kern w:val="0"/>
                <w:sz w:val="24"/>
                <w:szCs w:val="24"/>
                <w:lang w:eastAsia="zh-CN"/>
              </w:rPr>
              <w:t>与容器</w:t>
            </w:r>
            <w:r>
              <w:rPr>
                <w:rFonts w:hint="eastAsia" w:ascii="宋体" w:hAnsi="宋体" w:eastAsia="宋体" w:cs="宋体"/>
                <w:kern w:val="0"/>
                <w:sz w:val="21"/>
                <w:szCs w:val="21"/>
              </w:rPr>
              <w:t>应标记并分开使用。</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restart"/>
            <w:noWrap w:val="0"/>
            <w:vAlign w:val="center"/>
          </w:tcPr>
          <w:p>
            <w:pPr>
              <w:widowControl/>
              <w:spacing w:line="310" w:lineRule="exact"/>
              <w:rPr>
                <w:rFonts w:ascii="宋体" w:hAnsi="宋体" w:eastAsia="宋体" w:cs="宋体"/>
                <w:kern w:val="0"/>
                <w:sz w:val="21"/>
                <w:szCs w:val="21"/>
              </w:rPr>
            </w:pPr>
            <w:r>
              <w:rPr>
                <w:rFonts w:hint="eastAsia" w:ascii="宋体" w:hAnsi="宋体" w:eastAsia="宋体" w:cs="宋体"/>
                <w:kern w:val="0"/>
                <w:sz w:val="21"/>
                <w:szCs w:val="21"/>
              </w:rPr>
              <w:t>四、人员要求</w:t>
            </w: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21</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从事接触直接入口食品生产加工的人员持有有效的健康证明，并配有足够的工作衣帽。现场人员应穿戴工作衣帽，不得赤膊、光脚。</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restart"/>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22</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从业人员应保持个人整洁，不留长指甲、不涂指甲油、不喷洒香水、不得佩戴手表和外露饰物。不携带与食品生产无关的个人用品进入生产加工场所。</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ascii="宋体" w:hAnsi="宋体" w:eastAsia="宋体" w:cs="宋体"/>
                <w:kern w:val="0"/>
                <w:sz w:val="21"/>
                <w:szCs w:val="21"/>
              </w:rPr>
            </w:pPr>
            <w:r>
              <w:rPr>
                <w:rFonts w:hint="eastAsia" w:ascii="宋体" w:hAnsi="宋体" w:eastAsia="宋体" w:cs="宋体"/>
                <w:kern w:val="0"/>
                <w:sz w:val="21"/>
                <w:szCs w:val="21"/>
              </w:rPr>
              <w:t>23</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负责人和主要生产人员应当学习和熟悉所生产食品的质量安全相关知识。</w:t>
            </w:r>
            <w:r>
              <w:rPr>
                <w:rFonts w:hint="eastAsia" w:ascii="宋体" w:hAnsi="宋体" w:eastAsia="宋体" w:cs="宋体"/>
                <w:kern w:val="0"/>
                <w:sz w:val="21"/>
                <w:szCs w:val="21"/>
                <w:lang w:val="en-US" w:eastAsia="zh-CN"/>
              </w:rPr>
              <w:t>有食品安全管理人员。</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064" w:type="dxa"/>
            <w:vMerge w:val="restart"/>
            <w:noWrap w:val="0"/>
            <w:vAlign w:val="center"/>
          </w:tcPr>
          <w:p>
            <w:pPr>
              <w:widowControl/>
              <w:spacing w:line="310" w:lineRule="exact"/>
              <w:rPr>
                <w:rFonts w:ascii="宋体" w:hAnsi="宋体" w:eastAsia="宋体" w:cs="宋体"/>
                <w:kern w:val="0"/>
                <w:sz w:val="21"/>
                <w:szCs w:val="21"/>
              </w:rPr>
            </w:pPr>
            <w:r>
              <w:rPr>
                <w:rFonts w:hint="eastAsia" w:ascii="宋体" w:hAnsi="宋体" w:eastAsia="宋体" w:cs="宋体"/>
                <w:kern w:val="0"/>
                <w:sz w:val="21"/>
                <w:szCs w:val="21"/>
              </w:rPr>
              <w:t>五、台账要求</w:t>
            </w:r>
          </w:p>
        </w:tc>
        <w:tc>
          <w:tcPr>
            <w:tcW w:w="686" w:type="dxa"/>
            <w:noWrap w:val="0"/>
            <w:vAlign w:val="center"/>
          </w:tcPr>
          <w:p>
            <w:pPr>
              <w:widowControl/>
              <w:spacing w:line="31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24</w:t>
            </w:r>
          </w:p>
        </w:tc>
        <w:tc>
          <w:tcPr>
            <w:tcW w:w="5823" w:type="dxa"/>
            <w:noWrap w:val="0"/>
            <w:vAlign w:val="center"/>
          </w:tcPr>
          <w:p>
            <w:pPr>
              <w:widowControl/>
              <w:spacing w:line="31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有保证食品安全的规章制度。</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不合格</w:t>
            </w:r>
          </w:p>
        </w:tc>
        <w:tc>
          <w:tcPr>
            <w:tcW w:w="660" w:type="dxa"/>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25</w:t>
            </w:r>
          </w:p>
        </w:tc>
        <w:tc>
          <w:tcPr>
            <w:tcW w:w="5823" w:type="dxa"/>
            <w:noWrap w:val="0"/>
            <w:vAlign w:val="center"/>
          </w:tcPr>
          <w:p>
            <w:pPr>
              <w:widowControl/>
              <w:spacing w:line="31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建立原辅料进货台账，如实记录购进食品原辅料、食品添加剂、食品相关产品的名称、批号、规格、数量、生产日期、保质期、供货者名称及联系方式、进货日期等内容；保存采购供货者的相关证照、采购发票、检验检疫符合证明等凭证。</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restart"/>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26</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建立食品添加剂使用台账，如实记录使用食品添加剂的时间、名称、用量、与其它原辅料配比情况等内容。</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27</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建立生产统计台账，如实记录生产日期、产品名称、</w:t>
            </w:r>
            <w:r>
              <w:rPr>
                <w:rFonts w:hint="eastAsia" w:ascii="宋体" w:hAnsi="宋体" w:eastAsia="宋体" w:cs="宋体"/>
                <w:kern w:val="0"/>
                <w:sz w:val="21"/>
                <w:szCs w:val="21"/>
                <w:u w:val="single"/>
              </w:rPr>
              <w:t>规格</w:t>
            </w:r>
            <w:r>
              <w:rPr>
                <w:rFonts w:hint="eastAsia" w:ascii="宋体" w:hAnsi="宋体" w:eastAsia="宋体" w:cs="宋体"/>
                <w:kern w:val="0"/>
                <w:sz w:val="21"/>
                <w:szCs w:val="21"/>
              </w:rPr>
              <w:t>、数量、保质期等内容。</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28</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建立产品销售台账，如实记录销售食品的名称、生产日期、</w:t>
            </w:r>
            <w:r>
              <w:rPr>
                <w:rFonts w:hint="eastAsia" w:ascii="宋体" w:hAnsi="宋体" w:eastAsia="宋体" w:cs="宋体"/>
                <w:kern w:val="0"/>
                <w:sz w:val="21"/>
                <w:szCs w:val="21"/>
                <w:u w:val="single"/>
              </w:rPr>
              <w:t>规格</w:t>
            </w:r>
            <w:r>
              <w:rPr>
                <w:rFonts w:hint="eastAsia" w:ascii="宋体" w:hAnsi="宋体" w:eastAsia="宋体" w:cs="宋体"/>
                <w:kern w:val="0"/>
                <w:sz w:val="21"/>
                <w:szCs w:val="21"/>
              </w:rPr>
              <w:t>、数量、购货单位名称及联系方式、销售日期等内容，保存载有相关信息的销售票据。</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29</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建立食品召回和销毁台账，如实记录召回时间、产品名称、规格、不安全项目、回收原因、回收数量、销毁时间、销毁地点、销毁数量、销毁方式、处理情况等内容。</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restart"/>
            <w:noWrap w:val="0"/>
            <w:vAlign w:val="center"/>
          </w:tcPr>
          <w:p>
            <w:pPr>
              <w:widowControl/>
              <w:spacing w:line="310" w:lineRule="exact"/>
              <w:rPr>
                <w:rFonts w:ascii="宋体" w:hAnsi="宋体" w:eastAsia="宋体" w:cs="宋体"/>
                <w:kern w:val="0"/>
                <w:sz w:val="21"/>
                <w:szCs w:val="21"/>
              </w:rPr>
            </w:pPr>
            <w:r>
              <w:rPr>
                <w:rFonts w:hint="eastAsia" w:ascii="宋体" w:hAnsi="宋体" w:eastAsia="宋体" w:cs="宋体"/>
                <w:kern w:val="0"/>
                <w:sz w:val="21"/>
                <w:szCs w:val="21"/>
              </w:rPr>
              <w:t>六、包装与标识</w:t>
            </w: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30</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包装的容器和材料为清洁、无毒、无害且符合卫生要求和食品用包装材料标准的有证产品；一次性使用的包装容器和材料不得循环使用；重复使用的包装物或容器必须备有专门的清洗设备进行定期清洗、消毒，保持清洁卫生。</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restart"/>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31</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食品有包装和标签，标签的内容必须真实，标签包括：食品名称、执行标准、生产日期、保质期、成分表或配料表，食品小作坊名称、地址、登记证号码、联系方式及按照法律、法规或者食品安全标准规定需要标示的内容。</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restart"/>
            <w:noWrap w:val="0"/>
            <w:vAlign w:val="center"/>
          </w:tcPr>
          <w:p>
            <w:pPr>
              <w:widowControl/>
              <w:spacing w:line="310" w:lineRule="exact"/>
              <w:rPr>
                <w:rFonts w:ascii="宋体" w:hAnsi="宋体" w:eastAsia="宋体" w:cs="宋体"/>
                <w:kern w:val="0"/>
                <w:sz w:val="21"/>
                <w:szCs w:val="21"/>
              </w:rPr>
            </w:pPr>
            <w:r>
              <w:rPr>
                <w:rFonts w:hint="eastAsia" w:ascii="宋体" w:hAnsi="宋体" w:eastAsia="宋体" w:cs="宋体"/>
                <w:kern w:val="0"/>
                <w:sz w:val="21"/>
                <w:szCs w:val="21"/>
              </w:rPr>
              <w:t>七、贮存与运输</w:t>
            </w: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32</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贮存场所内不得存放影响产品安全的物品，储存物须离地离墙独立存放；根据贮存食品的要求提供适宜的温度和湿度等贮存条件；采取防鼠、蝇、虫等有效措施，确保贮存的食品不受污染。</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restart"/>
            <w:noWrap w:val="0"/>
            <w:vAlign w:val="center"/>
          </w:tcPr>
          <w:p>
            <w:pPr>
              <w:widowControl/>
              <w:spacing w:line="310" w:lineRule="exact"/>
              <w:jc w:val="center"/>
              <w:rPr>
                <w:rFonts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4" w:type="dxa"/>
            <w:vMerge w:val="continue"/>
            <w:noWrap w:val="0"/>
            <w:vAlign w:val="center"/>
          </w:tcPr>
          <w:p>
            <w:pPr>
              <w:widowControl/>
              <w:spacing w:line="310" w:lineRule="exact"/>
              <w:rPr>
                <w:rFonts w:ascii="宋体" w:hAnsi="宋体" w:eastAsia="宋体" w:cs="宋体"/>
                <w:kern w:val="0"/>
                <w:sz w:val="21"/>
                <w:szCs w:val="21"/>
              </w:rPr>
            </w:pPr>
          </w:p>
        </w:tc>
        <w:tc>
          <w:tcPr>
            <w:tcW w:w="686" w:type="dxa"/>
            <w:noWrap w:val="0"/>
            <w:vAlign w:val="center"/>
          </w:tcPr>
          <w:p>
            <w:pPr>
              <w:widowControl/>
              <w:spacing w:line="31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33</w:t>
            </w:r>
          </w:p>
        </w:tc>
        <w:tc>
          <w:tcPr>
            <w:tcW w:w="5823" w:type="dxa"/>
            <w:noWrap w:val="0"/>
            <w:vAlign w:val="center"/>
          </w:tcPr>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贮存、运输和装卸食品的容器、工具和设备应当安全、无害、保持清洁；不得将食品与有毒、有害物品一同运输。</w:t>
            </w:r>
          </w:p>
        </w:tc>
        <w:tc>
          <w:tcPr>
            <w:tcW w:w="1256" w:type="dxa"/>
            <w:noWrap w:val="0"/>
            <w:vAlign w:val="center"/>
          </w:tcPr>
          <w:p>
            <w:pPr>
              <w:widowControl/>
              <w:spacing w:line="31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 合格</w:t>
            </w:r>
          </w:p>
          <w:p>
            <w:pPr>
              <w:widowControl/>
              <w:spacing w:line="310" w:lineRule="exact"/>
              <w:jc w:val="left"/>
              <w:rPr>
                <w:rFonts w:ascii="宋体" w:hAnsi="宋体" w:eastAsia="宋体" w:cs="宋体"/>
                <w:kern w:val="0"/>
                <w:sz w:val="21"/>
                <w:szCs w:val="21"/>
              </w:rPr>
            </w:pPr>
            <w:r>
              <w:rPr>
                <w:rFonts w:hint="eastAsia" w:ascii="宋体" w:hAnsi="宋体" w:eastAsia="宋体" w:cs="宋体"/>
                <w:kern w:val="0"/>
                <w:sz w:val="21"/>
                <w:szCs w:val="21"/>
              </w:rPr>
              <w:t>□ 不合格</w:t>
            </w:r>
          </w:p>
        </w:tc>
        <w:tc>
          <w:tcPr>
            <w:tcW w:w="660" w:type="dxa"/>
            <w:vMerge w:val="continue"/>
            <w:noWrap w:val="0"/>
            <w:vAlign w:val="center"/>
          </w:tcPr>
          <w:p>
            <w:pPr>
              <w:widowControl/>
              <w:spacing w:line="310" w:lineRule="exact"/>
              <w:jc w:val="center"/>
              <w:rPr>
                <w:rFonts w:ascii="宋体" w:hAnsi="宋体" w:eastAsia="宋体" w:cs="宋体"/>
                <w:kern w:val="0"/>
                <w:sz w:val="21"/>
                <w:szCs w:val="21"/>
              </w:rPr>
            </w:pPr>
          </w:p>
        </w:tc>
      </w:tr>
    </w:tbl>
    <w:p>
      <w:pPr>
        <w:spacing w:line="560" w:lineRule="exac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现场评价共计查出：关键项</w:t>
      </w:r>
      <w:r>
        <w:rPr>
          <w:rFonts w:hint="eastAsia" w:ascii="宋体" w:hAnsi="宋体" w:eastAsia="宋体" w:cs="宋体"/>
          <w:b w:val="0"/>
          <w:bCs w:val="0"/>
          <w:kern w:val="0"/>
          <w:sz w:val="21"/>
          <w:szCs w:val="21"/>
          <w:u w:val="single"/>
        </w:rPr>
        <w:t xml:space="preserve">       </w:t>
      </w:r>
      <w:r>
        <w:rPr>
          <w:rFonts w:hint="eastAsia" w:ascii="宋体" w:hAnsi="宋体" w:eastAsia="宋体" w:cs="宋体"/>
          <w:b w:val="0"/>
          <w:bCs w:val="0"/>
          <w:kern w:val="0"/>
          <w:sz w:val="21"/>
          <w:szCs w:val="21"/>
        </w:rPr>
        <w:t>项不合格，一般项</w:t>
      </w:r>
      <w:r>
        <w:rPr>
          <w:rFonts w:hint="eastAsia" w:ascii="宋体" w:hAnsi="宋体" w:eastAsia="宋体" w:cs="宋体"/>
          <w:b w:val="0"/>
          <w:bCs w:val="0"/>
          <w:kern w:val="0"/>
          <w:sz w:val="21"/>
          <w:szCs w:val="21"/>
          <w:u w:val="single"/>
        </w:rPr>
        <w:t xml:space="preserve">        </w:t>
      </w:r>
      <w:r>
        <w:rPr>
          <w:rFonts w:hint="eastAsia" w:ascii="宋体" w:hAnsi="宋体" w:eastAsia="宋体" w:cs="宋体"/>
          <w:b w:val="0"/>
          <w:bCs w:val="0"/>
          <w:kern w:val="0"/>
          <w:sz w:val="21"/>
          <w:szCs w:val="21"/>
        </w:rPr>
        <w:t>项不合格，核查结论</w:t>
      </w:r>
      <w:r>
        <w:rPr>
          <w:rFonts w:hint="eastAsia" w:ascii="宋体" w:hAnsi="宋体" w:eastAsia="宋体" w:cs="宋体"/>
          <w:b w:val="0"/>
          <w:bCs w:val="0"/>
          <w:kern w:val="0"/>
          <w:sz w:val="21"/>
          <w:szCs w:val="21"/>
          <w:u w:val="single"/>
        </w:rPr>
        <w:t xml:space="preserve">             </w:t>
      </w:r>
    </w:p>
    <w:p>
      <w:pPr>
        <w:spacing w:line="560" w:lineRule="exact"/>
        <w:rPr>
          <w:rFonts w:hint="eastAsia" w:ascii="宋体" w:hAnsi="宋体" w:eastAsia="宋体" w:cs="宋体"/>
          <w:b/>
          <w:bCs/>
          <w:kern w:val="0"/>
          <w:sz w:val="21"/>
          <w:szCs w:val="21"/>
        </w:rPr>
      </w:pPr>
      <w:r>
        <w:rPr>
          <w:rFonts w:hint="eastAsia" w:ascii="宋体" w:hAnsi="宋体" w:eastAsia="宋体" w:cs="宋体"/>
          <w:b w:val="0"/>
          <w:bCs w:val="0"/>
          <w:kern w:val="0"/>
          <w:sz w:val="21"/>
          <w:szCs w:val="21"/>
          <w:u w:val="single"/>
        </w:rPr>
        <w:t xml:space="preserve">                                                                                      </w:t>
      </w:r>
      <w:r>
        <w:rPr>
          <w:rFonts w:hint="eastAsia" w:ascii="宋体" w:hAnsi="宋体" w:eastAsia="宋体" w:cs="宋体"/>
          <w:b/>
          <w:bCs/>
          <w:kern w:val="0"/>
          <w:sz w:val="21"/>
          <w:szCs w:val="21"/>
          <w:u w:val="single"/>
        </w:rPr>
        <w:t xml:space="preserve">                                                                                     </w:t>
      </w:r>
      <w:r>
        <w:rPr>
          <w:rFonts w:hint="eastAsia" w:ascii="宋体" w:hAnsi="宋体" w:eastAsia="宋体" w:cs="宋体"/>
          <w:b/>
          <w:bCs/>
          <w:kern w:val="0"/>
          <w:sz w:val="21"/>
          <w:szCs w:val="21"/>
        </w:rPr>
        <w:t>。</w:t>
      </w:r>
    </w:p>
    <w:p>
      <w:pPr>
        <w:spacing w:line="500" w:lineRule="exact"/>
        <w:rPr>
          <w:rFonts w:hint="eastAsia" w:ascii="宋体" w:hAnsi="宋体" w:eastAsia="宋体" w:cs="宋体"/>
          <w:kern w:val="0"/>
          <w:sz w:val="21"/>
          <w:szCs w:val="21"/>
        </w:rPr>
      </w:pPr>
    </w:p>
    <w:p>
      <w:pPr>
        <w:spacing w:line="500" w:lineRule="exact"/>
        <w:rPr>
          <w:rFonts w:hint="eastAsia" w:ascii="宋体" w:hAnsi="宋体" w:eastAsia="宋体" w:cs="宋体"/>
          <w:kern w:val="0"/>
          <w:sz w:val="21"/>
          <w:szCs w:val="21"/>
        </w:rPr>
      </w:pPr>
      <w:r>
        <w:rPr>
          <w:rFonts w:hint="eastAsia" w:ascii="宋体" w:hAnsi="宋体" w:eastAsia="宋体" w:cs="宋体"/>
          <w:kern w:val="0"/>
          <w:sz w:val="21"/>
          <w:szCs w:val="21"/>
        </w:rPr>
        <w:t>核查人员签名：                                  小作坊负责人签名：</w:t>
      </w:r>
    </w:p>
    <w:p>
      <w:pPr>
        <w:spacing w:line="500" w:lineRule="exact"/>
        <w:rPr>
          <w:rFonts w:hint="eastAsia" w:ascii="宋体" w:hAnsi="宋体" w:eastAsia="宋体" w:cs="宋体"/>
          <w:kern w:val="0"/>
          <w:sz w:val="21"/>
          <w:szCs w:val="21"/>
        </w:rPr>
      </w:pPr>
    </w:p>
    <w:p>
      <w:pPr>
        <w:spacing w:line="500" w:lineRule="exact"/>
        <w:ind w:firstLine="1260" w:firstLineChars="600"/>
        <w:rPr>
          <w:rFonts w:hint="eastAsia" w:ascii="宋体" w:hAnsi="宋体" w:eastAsia="宋体" w:cs="宋体"/>
          <w:kern w:val="0"/>
          <w:sz w:val="21"/>
          <w:szCs w:val="21"/>
        </w:rPr>
      </w:pPr>
      <w:r>
        <w:rPr>
          <w:rFonts w:hint="eastAsia" w:ascii="宋体" w:hAnsi="宋体" w:eastAsia="宋体" w:cs="宋体"/>
          <w:kern w:val="0"/>
          <w:sz w:val="21"/>
          <w:szCs w:val="21"/>
        </w:rPr>
        <w:t>年     月     日                                   年    月    日</w:t>
      </w:r>
    </w:p>
    <w:p>
      <w:pPr>
        <w:spacing w:line="500" w:lineRule="exact"/>
        <w:rPr>
          <w:rFonts w:hint="eastAsia" w:ascii="宋体" w:hAnsi="宋体" w:eastAsia="宋体" w:cs="宋体"/>
          <w:kern w:val="0"/>
          <w:sz w:val="21"/>
          <w:szCs w:val="21"/>
        </w:rPr>
      </w:pPr>
    </w:p>
    <w:p>
      <w:pPr>
        <w:spacing w:line="440" w:lineRule="exact"/>
        <w:rPr>
          <w:rFonts w:hint="eastAsia" w:ascii="宋体" w:hAnsi="宋体" w:eastAsia="宋体" w:cs="宋体"/>
          <w:kern w:val="0"/>
          <w:sz w:val="21"/>
          <w:szCs w:val="21"/>
        </w:rPr>
      </w:pPr>
      <w:r>
        <w:rPr>
          <w:rFonts w:hint="eastAsia" w:ascii="宋体" w:hAnsi="宋体" w:eastAsia="宋体" w:cs="宋体"/>
          <w:kern w:val="0"/>
          <w:sz w:val="21"/>
          <w:szCs w:val="21"/>
        </w:rPr>
        <w:t>备注：本评价表分为7个部分，共3</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个核查条款，其关键条款9项，序号前标注“*”为关键项。</w:t>
      </w:r>
    </w:p>
    <w:p>
      <w:pPr>
        <w:spacing w:line="440" w:lineRule="exact"/>
        <w:ind w:firstLine="630" w:firstLineChars="300"/>
        <w:rPr>
          <w:rFonts w:hint="eastAsia" w:ascii="宋体" w:hAnsi="宋体" w:eastAsia="宋体" w:cs="宋体"/>
          <w:kern w:val="0"/>
          <w:sz w:val="21"/>
          <w:szCs w:val="21"/>
        </w:rPr>
      </w:pPr>
      <w:r>
        <w:rPr>
          <w:rFonts w:hint="eastAsia" w:ascii="宋体" w:hAnsi="宋体" w:eastAsia="宋体" w:cs="宋体"/>
          <w:kern w:val="0"/>
          <w:sz w:val="21"/>
          <w:szCs w:val="21"/>
        </w:rPr>
        <w:t>每项条款的评价结果为“合格”、“不合格”。</w:t>
      </w:r>
    </w:p>
    <w:p>
      <w:pPr>
        <w:spacing w:line="440" w:lineRule="exact"/>
        <w:ind w:firstLine="630" w:firstLineChars="300"/>
        <w:rPr>
          <w:rFonts w:hint="eastAsia" w:ascii="宋体" w:hAnsi="宋体" w:eastAsia="宋体"/>
          <w:color w:val="FF0000"/>
          <w:sz w:val="21"/>
          <w:szCs w:val="21"/>
        </w:rPr>
      </w:pPr>
      <w:r>
        <w:rPr>
          <w:rFonts w:hint="eastAsia" w:ascii="宋体" w:hAnsi="宋体" w:eastAsia="宋体" w:cs="宋体"/>
          <w:kern w:val="0"/>
          <w:sz w:val="21"/>
          <w:szCs w:val="21"/>
        </w:rPr>
        <w:t>关键</w:t>
      </w:r>
      <w:r>
        <w:rPr>
          <w:rFonts w:hint="eastAsia" w:ascii="宋体" w:hAnsi="宋体" w:eastAsia="宋体" w:cs="宋体"/>
          <w:kern w:val="0"/>
          <w:sz w:val="21"/>
          <w:szCs w:val="21"/>
          <w:lang w:eastAsia="zh-CN"/>
        </w:rPr>
        <w:t>条款</w:t>
      </w:r>
      <w:r>
        <w:rPr>
          <w:rFonts w:hint="eastAsia" w:ascii="宋体" w:hAnsi="宋体" w:eastAsia="宋体" w:cs="宋体"/>
          <w:kern w:val="0"/>
          <w:sz w:val="21"/>
          <w:szCs w:val="21"/>
        </w:rPr>
        <w:t>全部合格且一般条款累计不超过5项（含5项）不合格，评价结论为“合格”。</w:t>
      </w:r>
    </w:p>
    <w:p>
      <w:pPr>
        <w:spacing w:line="440" w:lineRule="exact"/>
        <w:ind w:firstLine="630" w:firstLineChars="300"/>
        <w:rPr>
          <w:rFonts w:hint="eastAsia" w:ascii="宋体" w:hAnsi="宋体" w:eastAsia="宋体"/>
          <w:color w:val="FF0000"/>
          <w:sz w:val="21"/>
          <w:szCs w:val="21"/>
        </w:rPr>
      </w:pPr>
      <w:r>
        <w:rPr>
          <w:rFonts w:hint="eastAsia" w:ascii="宋体" w:hAnsi="宋体" w:eastAsia="宋体" w:cs="宋体"/>
          <w:kern w:val="0"/>
          <w:sz w:val="21"/>
          <w:szCs w:val="21"/>
        </w:rPr>
        <w:t>关键</w:t>
      </w:r>
      <w:r>
        <w:rPr>
          <w:rFonts w:hint="eastAsia" w:ascii="宋体" w:hAnsi="宋体" w:eastAsia="宋体" w:cs="宋体"/>
          <w:kern w:val="0"/>
          <w:sz w:val="21"/>
          <w:szCs w:val="21"/>
          <w:lang w:eastAsia="zh-CN"/>
        </w:rPr>
        <w:t>条款</w:t>
      </w:r>
      <w:r>
        <w:rPr>
          <w:rFonts w:hint="eastAsia" w:ascii="宋体" w:hAnsi="宋体" w:eastAsia="宋体" w:cs="宋体"/>
          <w:kern w:val="0"/>
          <w:sz w:val="21"/>
          <w:szCs w:val="21"/>
        </w:rPr>
        <w:t>有一项以上不合格或者一般项不合格累计超过5项，评价结论为“不合格”。</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left="320" w:leftChars="100" w:right="320" w:rightChars="100"/>
      <w:rPr>
        <w:rStyle w:val="7"/>
        <w:rFonts w:ascii="宋体" w:hAnsi="宋体"/>
        <w:sz w:val="28"/>
      </w:rPr>
    </w:pPr>
    <w:r>
      <w:rPr>
        <w:rStyle w:val="7"/>
        <w:rFonts w:hint="eastAsia" w:ascii="宋体" w:hAnsi="宋体"/>
        <w:sz w:val="28"/>
      </w:rPr>
      <w:t xml:space="preserve">— </w:t>
    </w:r>
    <w:r>
      <w:rPr>
        <w:rFonts w:hint="eastAsia" w:ascii="宋体" w:hAnsi="宋体"/>
        <w:sz w:val="28"/>
      </w:rPr>
      <w:fldChar w:fldCharType="begin"/>
    </w:r>
    <w:r>
      <w:rPr>
        <w:rStyle w:val="7"/>
        <w:rFonts w:hint="eastAsia" w:ascii="宋体" w:hAnsi="宋体"/>
        <w:sz w:val="28"/>
      </w:rPr>
      <w:instrText xml:space="preserve">PAGE  </w:instrText>
    </w:r>
    <w:r>
      <w:rPr>
        <w:rFonts w:ascii="宋体" w:hAnsi="宋体"/>
        <w:sz w:val="28"/>
      </w:rPr>
      <w:fldChar w:fldCharType="separate"/>
    </w:r>
    <w:r>
      <w:rPr>
        <w:rStyle w:val="7"/>
        <w:rFonts w:ascii="宋体" w:hAnsi="宋体"/>
        <w:sz w:val="28"/>
      </w:rPr>
      <w:t>1</w:t>
    </w:r>
    <w:r>
      <w:rPr>
        <w:rFonts w:hint="eastAsia" w:ascii="宋体" w:hAnsi="宋体"/>
        <w:sz w:val="28"/>
      </w:rPr>
      <w:fldChar w:fldCharType="end"/>
    </w:r>
    <w:r>
      <w:rPr>
        <w:rStyle w:val="7"/>
        <w:rFonts w:hint="eastAsia" w:ascii="宋体" w:hAnsi="宋体"/>
        <w:sz w:val="28"/>
      </w:rPr>
      <w:t xml:space="preserve"> —</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CC00E7"/>
    <w:rsid w:val="72CC0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pPr>
      <w:spacing w:line="240" w:lineRule="auto"/>
    </w:pPr>
    <w:rPr>
      <w:rFonts w:ascii="宋体" w:hAnsi="Courier New" w:eastAsia="宋体" w:cs="Courier New"/>
      <w:sz w:val="21"/>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paragraph" w:customStyle="1" w:styleId="8">
    <w:name w:val="纯文本1"/>
    <w:basedOn w:val="1"/>
    <w:qFormat/>
    <w:uiPriority w:val="0"/>
    <w:rPr>
      <w:rFonts w:ascii="宋体" w:hAnsi="Courier New" w:eastAsia="宋体" w:cs="宋体"/>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2025-04-02T01:44:00Z</dcterms:created>
  <dc:creator>邹清</dc:creator>
  <cp:lastModifiedBy>邹清</cp:lastModifiedBy>
  <dcterms:modified xsi:type="dcterms:W3CDTF">2025-04-02T01:44:29Z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7AF40288BCFD413B9D6031D557CD9E4C</vt:lpwstr>
  </property>
</Properties>
</file>